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Cs/>
          <w:kern w:val="0"/>
          <w:szCs w:val="21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附件1</w:t>
      </w:r>
    </w:p>
    <w:p>
      <w:pPr>
        <w:pStyle w:val="2"/>
        <w:snapToGrid w:val="0"/>
        <w:spacing w:after="0"/>
        <w:ind w:left="0"/>
        <w:rPr>
          <w:rFonts w:hint="default" w:ascii="Times New Roman" w:hAnsi="Times New Roman" w:eastAsia="黑体" w:cs="Times New Roman"/>
          <w:bCs/>
          <w:kern w:val="0"/>
          <w:szCs w:val="21"/>
        </w:rPr>
      </w:pP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1-1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（2020年版，池塘养殖类）</w:t>
      </w:r>
    </w:p>
    <w:tbl>
      <w:tblPr>
        <w:tblStyle w:val="12"/>
        <w:tblpPr w:leftFromText="180" w:rightFromText="180" w:vertAnchor="text" w:horzAnchor="margin" w:tblpY="28"/>
        <w:tblW w:w="97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0"/>
        <w:gridCol w:w="4443"/>
        <w:gridCol w:w="1368"/>
        <w:gridCol w:w="1034"/>
        <w:gridCol w:w="480"/>
        <w:gridCol w:w="132"/>
        <w:gridCol w:w="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5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4" w:hRule="atLeast"/>
        </w:trPr>
        <w:tc>
          <w:tcPr>
            <w:tcW w:w="1668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258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6" w:hRule="atLeast"/>
        </w:trPr>
        <w:tc>
          <w:tcPr>
            <w:tcW w:w="973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4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4.池塘养殖面积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</w:rPr>
              <w:t>亩（西部地区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30</w:t>
            </w:r>
            <w:r>
              <w:rPr>
                <w:rFonts w:hint="default" w:ascii="Times New Roman" w:hAnsi="Times New Roman" w:cs="Times New Roman"/>
                <w:sz w:val="24"/>
              </w:rPr>
              <w:t>亩）（含）以上。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5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7" w:hRule="atLeast"/>
        </w:trPr>
        <w:tc>
          <w:tcPr>
            <w:tcW w:w="899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2" w:hRule="atLeast"/>
        </w:trPr>
        <w:tc>
          <w:tcPr>
            <w:tcW w:w="973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9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1.场区环境整洁、优美，养殖废弃物有效治理3分，进排水分开且无明显毁损2分。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3.养殖基础设施设备维护良好3分，用电设施完备且维护良好2分。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8.渔用饲料来源于合法企业的合法产品（查验进货发票或凭证）。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693" w:type="dxa"/>
        <w:jc w:val="center"/>
        <w:tblInd w:w="1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41"/>
        <w:gridCol w:w="707"/>
        <w:gridCol w:w="992"/>
        <w:gridCol w:w="709"/>
        <w:gridCol w:w="2452"/>
        <w:gridCol w:w="1125"/>
        <w:gridCol w:w="612"/>
        <w:gridCol w:w="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5" w:hRule="atLeast"/>
          <w:jc w:val="center"/>
        </w:trPr>
        <w:tc>
          <w:tcPr>
            <w:tcW w:w="764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26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9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17.依法开展水产养殖项目环境影响评价。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18.建立渔用饲料、水产养殖用兽药等生产投入品存放、保管制度。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19.全部使用配合饲料，不直接投喂冰鲜(冻)饵料。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20.使用疫苗，全过程不使用化学药品、抗生素。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21.依法建立自行或委托检测机构水产品质量安全状况检测制度。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22.建立水产品销售记录制度，按时记载，内容详细完整准确。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23.建立养殖水产品追溯体系，销售水产品附具产品标签，内容详细完整准确。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24.定期对职工或成员进行健康养殖和质量安全教育培训。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25.开展生态沟渠、生态塘、潜流湿地等尾水处理设施升级改造。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28.按照农业农村部要求，积极配合作为《国家水生动物疫病监测计划》或省级监测被抽样单位。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764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31.建立起产供销一体化或融合发展的新模式，形成具有一定知名度的水产品牌。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7" w:hRule="atLeast"/>
          <w:jc w:val="center"/>
        </w:trPr>
        <w:tc>
          <w:tcPr>
            <w:tcW w:w="839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8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28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注：1.总分达到80分（含）以上为验收合格。</w:t>
      </w:r>
    </w:p>
    <w:p>
      <w:pPr>
        <w:ind w:firstLine="411" w:firstLineChars="195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2.双面打印后填写，样式在渔业渔政管理局网站（www.yyj.moa.gov.cn）下载。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br w:type="page"/>
      </w:r>
      <w:r>
        <w:rPr>
          <w:rFonts w:hint="default" w:ascii="Times New Roman" w:hAnsi="Times New Roman" w:cs="Times New Roman"/>
          <w:b/>
          <w:sz w:val="36"/>
          <w:szCs w:val="36"/>
        </w:rPr>
        <w:t>1-2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 xml:space="preserve">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（2020年版，工厂化养殖类）</w:t>
      </w:r>
    </w:p>
    <w:tbl>
      <w:tblPr>
        <w:tblStyle w:val="12"/>
        <w:tblpPr w:leftFromText="180" w:rightFromText="180" w:vertAnchor="text" w:horzAnchor="margin" w:tblpY="28"/>
        <w:tblW w:w="97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6"/>
        <w:gridCol w:w="4532"/>
        <w:gridCol w:w="1395"/>
        <w:gridCol w:w="882"/>
        <w:gridCol w:w="193"/>
        <w:gridCol w:w="418"/>
        <w:gridCol w:w="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59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2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3" w:hRule="atLeast"/>
        </w:trPr>
        <w:tc>
          <w:tcPr>
            <w:tcW w:w="1701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53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09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03" w:hRule="atLeast"/>
        </w:trPr>
        <w:tc>
          <w:tcPr>
            <w:tcW w:w="97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示范场应具备的基本条件（共6项，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2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4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4.工厂化养殖面积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2000</w:t>
            </w:r>
            <w:r>
              <w:rPr>
                <w:rFonts w:hint="default" w:ascii="Times New Roman" w:hAnsi="Times New Roman" w:cs="Times New Roman"/>
                <w:sz w:val="24"/>
              </w:rPr>
              <w:t>平方米以上。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3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1" w:hRule="atLeast"/>
        </w:trPr>
        <w:tc>
          <w:tcPr>
            <w:tcW w:w="8703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6.具有养殖尾水净化处理设施或设备且正常使用。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8" w:hRule="atLeast"/>
        </w:trPr>
        <w:tc>
          <w:tcPr>
            <w:tcW w:w="972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如基本条件具备，请按以下标准评分（31项）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2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1.场区环境整洁、优美，养殖废弃物有效治理3分，进排水分开且无明显毁损2分。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需要用水预处理的，具有养殖用水预处理设施设备且正常使用2分。配备水质检测仪器设备且正常使用1分。养殖用水符合《无公害食品海水养殖用水水质》《无公害食品淡水养殖用水水质》标准（查验水质检测报告）或更高标准的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3.工厂化养殖具有完备的循环用水设施设备3分，用电设施完备且维护良好2分。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4.投饵机、增氧机等养殖机械设备齐全且正常使用3分，有配套生产生活垃圾集中处理设施设备且正常使用2分。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8.渔用饲料来源于合法企业的合法产品（查验进货发票或凭证）。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1" w:hRule="atLeast"/>
        </w:trPr>
        <w:tc>
          <w:tcPr>
            <w:tcW w:w="8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11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732" w:type="dxa"/>
        <w:jc w:val="center"/>
        <w:tblInd w:w="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539"/>
        <w:gridCol w:w="707"/>
        <w:gridCol w:w="992"/>
        <w:gridCol w:w="709"/>
        <w:gridCol w:w="2452"/>
        <w:gridCol w:w="1218"/>
        <w:gridCol w:w="612"/>
        <w:gridCol w:w="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5" w:hRule="atLeast"/>
          <w:jc w:val="center"/>
        </w:trPr>
        <w:tc>
          <w:tcPr>
            <w:tcW w:w="891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617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16.根据本场实际研究确定健康、生态养殖模式，依法制定养殖品种生产或苗种繁育书面操作规范。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17.依法开展水产养殖项目环境影响评价。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18.建立渔用饲料、水产养殖用兽药等生产投入品存放、保管制度。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19.全部使用配合饲料，不直接投喂冰鲜(冻)饵料。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20.使用疫苗，全过程不使用化学药品、抗生素。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21.依法建立自行或委托检测机构水产品质量安全状况检测制度。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22.建立水产品销售记录制度，按时记载，内容详细完整准确。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23.建立养殖水产品追溯体系，销售水产品附具产品标签，内容详细完整准确。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24.定期对职工或成员进行健康养殖和质量安全教育培训。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25.开展智慧养殖示范，引入物联网、大数据、人工智能等现代信息技术。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26.病死水生动物按照《染疫水生动物无害化处理规程》标准进行无害化处理（查无害化处理记录）。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27.按照农业农村部要求承担水产养殖动植物疾病测报工作，配备测报员（可由渔业乡村兽医或执业兽医兼任），并通过系统逐级上报。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28.按照农业农村部要求，积极配合作为《国家水生动物疫病监测计划》或省级监测被抽样单位。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91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31.建立起产供销一体化或融合发展的新模式，形成具有一定知名度的水产品牌。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7" w:hRule="atLeast"/>
          <w:jc w:val="center"/>
        </w:trPr>
        <w:tc>
          <w:tcPr>
            <w:tcW w:w="850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4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3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ind w:firstLine="411" w:firstLineChars="195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Cs w:val="21"/>
        </w:rPr>
        <w:t>2.双面打印后填写，样式在渔业渔政管理局网站（www.yyj.moa.gov.cn）下载。</w:t>
      </w:r>
      <w:r>
        <w:rPr>
          <w:rFonts w:hint="default" w:ascii="Times New Roman" w:hAnsi="Times New Roman" w:cs="Times New Roman"/>
          <w:b/>
          <w:sz w:val="24"/>
        </w:rPr>
        <w:br w:type="page"/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1-3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（2020年版，大水面养殖类）</w:t>
      </w:r>
    </w:p>
    <w:tbl>
      <w:tblPr>
        <w:tblStyle w:val="12"/>
        <w:tblpPr w:leftFromText="180" w:rightFromText="180" w:vertAnchor="text" w:horzAnchor="margin" w:tblpX="-103" w:tblpY="28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58"/>
        <w:gridCol w:w="4443"/>
        <w:gridCol w:w="1368"/>
        <w:gridCol w:w="999"/>
        <w:gridCol w:w="54"/>
        <w:gridCol w:w="589"/>
        <w:gridCol w:w="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05" w:hRule="atLeast"/>
        </w:trPr>
        <w:tc>
          <w:tcPr>
            <w:tcW w:w="1772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单位名称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（填写公章名称）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4" w:hRule="atLeast"/>
        </w:trPr>
        <w:tc>
          <w:tcPr>
            <w:tcW w:w="1772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25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6" w:hRule="atLeast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示范场应具备的基本条件（共5项，</w:t>
            </w:r>
            <w:r>
              <w:rPr>
                <w:rFonts w:hint="default" w:ascii="Times New Roman" w:hAnsi="Times New Roman" w:cs="Times New Roman"/>
                <w:sz w:val="24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7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1.养殖场坐落于《养殖水域滩涂规划》划定的养殖区、限养区内。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0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4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和个体工商户</w:t>
            </w:r>
            <w:r>
              <w:rPr>
                <w:rFonts w:hint="default" w:ascii="Times New Roman" w:hAnsi="Times New Roman" w:cs="Times New Roman"/>
                <w:sz w:val="24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机关、执法机构、社会团体除外）。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5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7" w:hRule="atLeast"/>
        </w:trPr>
        <w:tc>
          <w:tcPr>
            <w:tcW w:w="8636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5.网箱、网栏、筏式、吊笼等养殖应具备废弃物收集设备（大水面放养除外）。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2" w:hRule="atLeast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如基本条件具备，请按以下标准评分（30项）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9" w:hRule="atLeast"/>
        </w:trPr>
        <w:tc>
          <w:tcPr>
            <w:tcW w:w="8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分值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一、完善基础条件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1.场区环境整洁、优美，养殖废弃物有效治理。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2.配备水质检测仪器设备且正常使用1分。养殖用水符合《无公害食品海水养殖用水水质》《无公害食品淡水养殖用水水质》标准（查验水质检测报告）或更高标准的2分，无检测报告扣2分。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3.网箱、网栏、浮筏、吊笼等基础设施设备维护良好3分，有配套生产生活垃圾集中处理设施设备且正常使用2分。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4.养殖过程中产生的废弃物均妥善处置，未造成环境负面影响。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5.完全不使用兽药和饲料3分。如需要投喂兽药饲料，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具有独立分设兽药和饲料仓库，仓库保持清洁整齐、干燥通风。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二、落实管理制度</w:t>
            </w: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8.完全不投喂饲料4分。如需要投喂饲料，渔用饲料来源于合法企业的合法产品（查验进货发票或凭证）。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4" w:hRule="atLeast"/>
        </w:trPr>
        <w:tc>
          <w:tcPr>
            <w:tcW w:w="81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10.完全不使用兽药4分。使用水产养殖用兽药符合《兽药管理条例》（兽用处方药查验处方），使用有休药期的水产养殖用兽药严格执行休药期（查用药记录）。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643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12"/>
        <w:tblpPr w:leftFromText="180" w:rightFromText="180" w:vertAnchor="text" w:horzAnchor="margin" w:tblpXSpec="center" w:tblpY="2"/>
        <w:tblW w:w="98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07"/>
        <w:gridCol w:w="713"/>
        <w:gridCol w:w="1000"/>
        <w:gridCol w:w="715"/>
        <w:gridCol w:w="2473"/>
        <w:gridCol w:w="1176"/>
        <w:gridCol w:w="620"/>
        <w:gridCol w:w="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2" w:hRule="atLeast"/>
          <w:jc w:val="center"/>
        </w:trPr>
        <w:tc>
          <w:tcPr>
            <w:tcW w:w="835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总体要求</w:t>
            </w:r>
          </w:p>
        </w:tc>
        <w:tc>
          <w:tcPr>
            <w:tcW w:w="778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创建标准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62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7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落实管理制度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11.使用渔用饲料符合《饲料和饲料添加剂管理条例》。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12.依法建立水产养殖生产记录制度，按时记载，内容详细完整准确。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13.依法建立水产养殖用药记录制度，按时记载，内容详细完整准确。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7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14.《水产养殖生产记录》《水产养殖用药记录》保存至售后2年以上。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三、引领绿色发展</w:t>
            </w: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15.根据本场实际研究确定健康、生态养殖模式，依法制定养殖品种生产或苗种繁育书面操作规范。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16.依法开展水产养殖项目环境影响评价。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17.建立渔用饲料、水产养殖用兽药等生产投入品存放、保管制度。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18.全部使用配合饲料，不直接投喂冰鲜(冻)饵料。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19.使用疫苗，全过程不使用化学药品、抗生素。</w:t>
            </w:r>
          </w:p>
        </w:tc>
        <w:tc>
          <w:tcPr>
            <w:tcW w:w="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20.依法建立自行或委托检测机构水产品质量安全状况检测制度。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21.建立水产品销售记录制度，按时记载，内容详细完整准确。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22.建立养殖水产品追溯体系，销售水产品附具产品标签，内容详细完整准确。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23.定期对职工或成员进行健康养殖和质量安全教育培训。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1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24.开展不投饵、滤食性、草食性增养殖或滩涂浅海贝藻类增养殖。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25.病死水生动物按照《染疫水生动物无害化处理规程》标准进行无害化处理（查无害化处理记录）。 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26.按照农业农村部要求承担水产养殖动植物疾病测报工作，配备测报员（可由渔业乡村兽医或执业兽医兼任），并通过系统逐级上报。 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27.按照农业农村部要求，积极配合作为《国家水生动物疫病监测计划》或省级监测被抽样单位。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28.积极主动为周边养殖户提供健康养殖技术咨询和培训服务，至少联系和示范带动周边养殖渔民50户以上，每年培训150人次以上。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4" w:hRule="atLeast"/>
          <w:jc w:val="center"/>
        </w:trPr>
        <w:tc>
          <w:tcPr>
            <w:tcW w:w="835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29.获得绿色食品、有机食品或良好农业规范等有关产品质量管理认证，或通过ISO9001等标准化认证，或被评为省级以上农业产业化龙头企业，或有农产品地理标志登记，且在有效期内。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835" w:type="dxa"/>
            <w:vMerge w:val="continue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30.建立起产供销一体化或融合发展的新模式，形成具有一定知名度的水产品牌。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4" w:hRule="atLeast"/>
          <w:jc w:val="center"/>
        </w:trPr>
        <w:tc>
          <w:tcPr>
            <w:tcW w:w="86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合  计</w:t>
            </w:r>
          </w:p>
        </w:tc>
        <w:tc>
          <w:tcPr>
            <w:tcW w:w="62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25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63" w:hRule="atLeast"/>
          <w:jc w:val="center"/>
        </w:trPr>
        <w:tc>
          <w:tcPr>
            <w:tcW w:w="25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 1.大水面养殖包括淡水水库、湖泊、网箱，海水底播、筏式、吊笼、网箱等。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2.总分达到80分（含）以上为验收合格。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    3.双面打印后填写，样式在渔业渔政管理局网站（www.yyj.moa.gov.cn）下载。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24"/>
        </w:rPr>
        <w:br w:type="page"/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1-4 国家级水产健康养殖示范场标准及评分表</w:t>
      </w:r>
    </w:p>
    <w:p>
      <w:pPr>
        <w:pStyle w:val="2"/>
        <w:snapToGrid w:val="0"/>
        <w:spacing w:after="0"/>
        <w:ind w:left="0"/>
        <w:jc w:val="center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sz w:val="28"/>
          <w:szCs w:val="28"/>
        </w:rPr>
        <w:t>（2020年版，稻渔综合种养类）</w:t>
      </w:r>
    </w:p>
    <w:tbl>
      <w:tblPr>
        <w:tblStyle w:val="12"/>
        <w:tblpPr w:leftFromText="180" w:rightFromText="180" w:vertAnchor="text" w:horzAnchor="margin" w:tblpX="-317" w:tblpY="28"/>
        <w:tblW w:w="10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0"/>
        <w:gridCol w:w="4443"/>
        <w:gridCol w:w="1368"/>
        <w:gridCol w:w="1021"/>
        <w:gridCol w:w="280"/>
        <w:gridCol w:w="438"/>
        <w:gridCol w:w="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0" w:hRule="atLeast"/>
        </w:trPr>
        <w:tc>
          <w:tcPr>
            <w:tcW w:w="1986" w:type="dxa"/>
            <w:gridSpan w:val="2"/>
            <w:vAlign w:val="center"/>
          </w:tcPr>
          <w:p>
            <w:pPr>
              <w:ind w:left="-65" w:leftChars="-31" w:firstLine="73" w:firstLineChars="41"/>
              <w:jc w:val="center"/>
              <w:rPr>
                <w:rFonts w:hint="default" w:ascii="Times New Roman" w:hAnsi="Times New Roman" w:eastAsia="黑体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18"/>
                <w:szCs w:val="18"/>
              </w:rPr>
              <w:t>单位名称</w:t>
            </w:r>
          </w:p>
          <w:p>
            <w:pPr>
              <w:ind w:left="-65" w:leftChars="-31" w:firstLine="73" w:firstLineChars="41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（填写公章名称）</w:t>
            </w:r>
          </w:p>
        </w:tc>
        <w:tc>
          <w:tcPr>
            <w:tcW w:w="8257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（请认真核对填写，必须加盖本单位公章，无公章此表无效）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7" w:hRule="atLeast"/>
        </w:trPr>
        <w:tc>
          <w:tcPr>
            <w:tcW w:w="1986" w:type="dxa"/>
            <w:gridSpan w:val="2"/>
            <w:vAlign w:val="center"/>
          </w:tcPr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单位性质</w:t>
            </w:r>
          </w:p>
          <w:p>
            <w:pPr>
              <w:ind w:left="-65" w:leftChars="-31" w:firstLine="98" w:firstLineChars="41"/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（请在□内划√）</w:t>
            </w:r>
          </w:p>
        </w:tc>
        <w:tc>
          <w:tcPr>
            <w:tcW w:w="44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企    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合  作  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家 庭 农场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事业单位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村民委员会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个体工商户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□ </w:t>
            </w:r>
          </w:p>
          <w:p>
            <w:pPr>
              <w:snapToGrid w:val="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其    他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（请说明）</w:t>
            </w:r>
            <w:r>
              <w:rPr>
                <w:rFonts w:hint="default" w:ascii="Times New Roman" w:hAnsi="Times New Roman" w:cs="Times New Roman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依法是否应工商登记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（填是或否）</w:t>
            </w:r>
          </w:p>
        </w:tc>
        <w:tc>
          <w:tcPr>
            <w:tcW w:w="2446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82" w:hRule="atLeast"/>
        </w:trPr>
        <w:tc>
          <w:tcPr>
            <w:tcW w:w="1024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示范场应具备的基本条件（共7项，</w:t>
            </w:r>
            <w:r>
              <w:rPr>
                <w:rFonts w:hint="default" w:ascii="Times New Roman" w:hAnsi="Times New Roman" w:cs="Times New Roman"/>
                <w:szCs w:val="21"/>
              </w:rPr>
              <w:t>不合格的划×）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4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1.养殖场坐落于《养殖水域滩涂规划》划定的养殖区、限养区内。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养殖生产者持有效的《水域滩涂养殖证》（或《不动产权证书》《农村土地承包经营权证》），或可证明其水域滩涂承包经营权、使用权的其他权证和承包合同。苗种生产单位须持有效的《水产苗种生产许可证》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9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3.主体为企业、合作社、家庭农场、事业单位、村民委员会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和个体工商户</w:t>
            </w:r>
            <w:r>
              <w:rPr>
                <w:rFonts w:hint="default" w:ascii="Times New Roman" w:hAnsi="Times New Roman" w:cs="Times New Roman"/>
                <w:szCs w:val="21"/>
              </w:rPr>
              <w:t>等水产养殖生产经营主体（行政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机关、执法机构、社会团体除外）。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4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4.近5年（含本年度）内产地水产品兽药残留监测合格（未被抽检年份视同合格），无使用假、劣兽药以及禁用药品、人用药等违法行为，不使用所谓“非药品”“动保产品”等存在安全隐患的投入品。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田间工程建设符合主养品种对稻渔共生的基本要求，沟坑占比不超过总面积的10%。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平原地区应集中连片，面积达到3000亩以上；丘陵山区应各田块位置毗邻，面积在1000亩以上。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3" w:hRule="atLeast"/>
        </w:trPr>
        <w:tc>
          <w:tcPr>
            <w:tcW w:w="9098" w:type="dxa"/>
            <w:gridSpan w:val="6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平原地区水稻亩产≥500公斤；丘陵山区水稻亩产≥400公斤。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8" w:hRule="atLeast"/>
        </w:trPr>
        <w:tc>
          <w:tcPr>
            <w:tcW w:w="1024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如基本条件具备，请按以下标准评分（26项）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1" w:hRule="atLeast"/>
        </w:trPr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分值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一、完善基础条件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1.场区环境整洁、优美，养殖废弃物有效治理3分。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2.需要用水预处理的，具有养殖用水预处理设施设备且正常使用2分。配备水质检测仪器设备且正常使用1分。养殖用水符合《无公害食品淡水养殖用水水质》标准（查验水质检测报告）或更高标准的2分。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土壤环境质量符合《土壤环境质量标准》（GB15618-1995）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类以上标准。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水质达到《地表水环境质量标准》（GB3838-2002）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类以上标准。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4.具有养殖尾水净化处理设施或设备且正常使用。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具有独立分设兽药和饲料仓库，仓库保持清洁整齐、干燥通风。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二、落实管理制度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6.水产苗种来源于合法企业（查验进货发票或凭证，生产企业的水产苗种生产许可证）3分。苗种经产地检疫（查验动物检疫合格证明）2分。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7.水产养殖用兽药来源于合法企业的合法产品（查验进货发票或凭证、合法企业的兽药经营许可证）。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8.渔用饲料来源于合法企业的合法产品（查验进货发票或凭证）。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9.聘用或配备1名及以上渔业乡村兽医或执业兽医，专职负责病害防控工作，履行兽药处方等制度。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10.使用水产养殖用兽药符合《兽药管理条例》（兽用处方药查验处方），使用有休药期的水产养殖用兽药严格执行休药期（查用药记录）。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11.使用渔用饲料符合《饲料和饲料添加剂管理条例》。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12.依法建立水产养殖生产记录制度，按时记载，内容详细完整准确。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13.依法建立水产养殖用药记录制度，按时记载，内容详细完整准确。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14.《水产养殖生产记录》《水产养殖用药记录》《水稻施肥用药记录》依法保存至售后2年以上。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2" w:hRule="atLeast"/>
        </w:trPr>
        <w:tc>
          <w:tcPr>
            <w:tcW w:w="836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15.养殖尾水排放达到《污水综合排放标准》（GB8978—1996）或地方生态环境部门发布的强制性排放标准。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</w:p>
    <w:tbl>
      <w:tblPr>
        <w:tblStyle w:val="12"/>
        <w:tblpPr w:leftFromText="180" w:rightFromText="180" w:vertAnchor="text" w:horzAnchor="margin" w:tblpXSpec="center" w:tblpY="2"/>
        <w:tblW w:w="102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92"/>
        <w:gridCol w:w="707"/>
        <w:gridCol w:w="992"/>
        <w:gridCol w:w="709"/>
        <w:gridCol w:w="2452"/>
        <w:gridCol w:w="1436"/>
        <w:gridCol w:w="712"/>
        <w:gridCol w:w="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5" w:hRule="atLeast"/>
          <w:jc w:val="center"/>
        </w:trPr>
        <w:tc>
          <w:tcPr>
            <w:tcW w:w="828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总体要求</w:t>
            </w:r>
          </w:p>
        </w:tc>
        <w:tc>
          <w:tcPr>
            <w:tcW w:w="7988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创建标准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分值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三、引领绿色发展</w:t>
            </w: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标准化生产：根据实际将稻田划分为若干标准化的综合种养单元，并建立了相应的先进稻渔生产技术、质量安全控制和稻渔工程标准。稻田划分为若干标准化的种养单元，建立了相应的的技术操作、质量控制和工程建设标准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17.规模化开发：平原地区3000-3500亩（1-2分）；3500-4000亩（2-4分）；4000亩以上（4-5分）。丘陵山区1000-1200亩（1-2分）；1200-1500亩（2-3分）；1500亩以上（4分）。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产业化经营；建立了苗种供应、生产管理、流通加工、产品销售等关键环节的产业化配套服务体系。产业化配套服务体系完善，且有加工能力强、休闲渔业带动作用明显等亮点（3分）；产业化配套服务体系完善（2分）；初步建立了产业化配套服务体系（1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品牌化运作：产品获得绿色食品认证（1分）；有机食品认证（2分）。拥有自主品牌（1分）；获得知名商标品牌称号（2分）。品牌溢价一倍到两倍（1分）；品牌溢价超过两倍（2分）。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水稻产量：平原地区水稻亩产500-550公斤（1-2分）；550-650公斤（2-3分）；650公斤以上（4分）。丘陵山区水稻亩产400-450公斤（1-2分）；450-500公斤（2-4分）；500公斤以上（4-5分）。通过有机产品认证的区域，亩产可适当降低30%左右。亩产降低35%-25%（1-2分）；降低25%-10%（2-3分）；降低少于10%（4分）。</w:t>
            </w:r>
          </w:p>
        </w:tc>
        <w:tc>
          <w:tcPr>
            <w:tcW w:w="7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5</w:t>
            </w:r>
          </w:p>
        </w:tc>
        <w:tc>
          <w:tcPr>
            <w:tcW w:w="7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用药用肥：化肥使用量与水稻单作相比减少50%以上。减少50%-75%（1分）；减少75%以上（2分）；零化肥施用（3分）。农药使用量与水稻单作相比减少50%以上。减少50%-75%（1分）；减少75%以上（2分）；零农药施用（3分）。制定了严格的用药制度并切实执行（3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循环利用：可充分利用稻田天然生物饵料（2分）；可部分利用稻田天然生物饵料（1分）。可促进水稻秸秆还田利用。还田率≤40%（1分）；还田率＞40%（2分）。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产值利润：亩均利润与同等条件下水稻单作对比提高一倍以上。1-3倍（1-2分）；3-6倍（2-3分）；6倍以上（4分）。亩均增加利润高于2000元。2000-3000元/亩（1-2分）；3000-5000元/亩（2-3分）；5000元/亩以上（4分）。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辐射带动：联系带动50户-100户（1分）；100户-200户（2分）；200户以上（3分）。提高周边农户认知程度和技术水平。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年培训联系户100-200人次（1分）；年培训联系户200人次以上（2分）。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就业增收：就业岗位占户数30%-60%（1-2分），60%以上（3分），或建立了公平合理的利益共享机制并有效执行（3分）。带动当地利益相关的农（渔）民人均年收入增长20%以上。增长20%-50%（1分），增长50%以上（2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4" w:hRule="atLeast"/>
          <w:jc w:val="center"/>
        </w:trPr>
        <w:tc>
          <w:tcPr>
            <w:tcW w:w="828" w:type="dxa"/>
            <w:vMerge w:val="continue"/>
            <w:textDirection w:val="tbRlV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98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26.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融合发展：三产融合效果显著，二三产业产值占比在50%以上（3分）；30%-50%（2分）；有二三产业，产值占比低于30%（1分）。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" w:hRule="atLeast"/>
          <w:jc w:val="center"/>
        </w:trPr>
        <w:tc>
          <w:tcPr>
            <w:tcW w:w="881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合  计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100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验收工作组签名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（不少于3人，省级行政、技术推广部门至少1人） 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5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省级主管部门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验收意见</w:t>
            </w:r>
          </w:p>
        </w:tc>
        <w:tc>
          <w:tcPr>
            <w:tcW w:w="772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（省级主管部门公章）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20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注：1.总分达到80分（含）以上为验收合格。</w:t>
      </w:r>
    </w:p>
    <w:p>
      <w:pPr>
        <w:ind w:firstLine="411" w:firstLineChars="195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2.双面打印后填写，样式在渔业渔政管理局网站（www.yyj.moa.gov.cn）下载。</w:t>
      </w:r>
    </w:p>
    <w:sectPr>
      <w:pgSz w:w="11906" w:h="16838"/>
      <w:pgMar w:top="964" w:right="1247" w:bottom="96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E8D"/>
    <w:rsid w:val="00087195"/>
    <w:rsid w:val="001E4884"/>
    <w:rsid w:val="0024173B"/>
    <w:rsid w:val="002630DC"/>
    <w:rsid w:val="002B106F"/>
    <w:rsid w:val="002D36CF"/>
    <w:rsid w:val="00340F44"/>
    <w:rsid w:val="00423936"/>
    <w:rsid w:val="00457989"/>
    <w:rsid w:val="00457F8D"/>
    <w:rsid w:val="004A20B2"/>
    <w:rsid w:val="004D7F7D"/>
    <w:rsid w:val="006C7BC9"/>
    <w:rsid w:val="007042E5"/>
    <w:rsid w:val="00711EC4"/>
    <w:rsid w:val="00997B2B"/>
    <w:rsid w:val="00A45B27"/>
    <w:rsid w:val="00A64028"/>
    <w:rsid w:val="00A90FF6"/>
    <w:rsid w:val="00AB79AB"/>
    <w:rsid w:val="00AF5D1A"/>
    <w:rsid w:val="00C76031"/>
    <w:rsid w:val="00DD5BDB"/>
    <w:rsid w:val="00E26CBB"/>
    <w:rsid w:val="00EF7E8D"/>
    <w:rsid w:val="0493ED27"/>
    <w:rsid w:val="167EEF9B"/>
    <w:rsid w:val="1DFF8329"/>
    <w:rsid w:val="23F10F66"/>
    <w:rsid w:val="2F7FF699"/>
    <w:rsid w:val="3FE77934"/>
    <w:rsid w:val="5FEDC6C6"/>
    <w:rsid w:val="5FFE35CC"/>
    <w:rsid w:val="66F80116"/>
    <w:rsid w:val="6BF75C6B"/>
    <w:rsid w:val="6D27827D"/>
    <w:rsid w:val="70A2FA06"/>
    <w:rsid w:val="72A773D0"/>
    <w:rsid w:val="73FC3599"/>
    <w:rsid w:val="755B3272"/>
    <w:rsid w:val="755DFE2C"/>
    <w:rsid w:val="75BD6326"/>
    <w:rsid w:val="77E78A8A"/>
    <w:rsid w:val="77FF02F0"/>
    <w:rsid w:val="79D4BABB"/>
    <w:rsid w:val="7AAB26A6"/>
    <w:rsid w:val="7BDEF946"/>
    <w:rsid w:val="7BFF345B"/>
    <w:rsid w:val="7FDFA340"/>
    <w:rsid w:val="7FFFE59D"/>
    <w:rsid w:val="9D59D355"/>
    <w:rsid w:val="9DCF412D"/>
    <w:rsid w:val="9E7FE373"/>
    <w:rsid w:val="9F2800B4"/>
    <w:rsid w:val="AEBF6706"/>
    <w:rsid w:val="B647A95E"/>
    <w:rsid w:val="B8E6C2E2"/>
    <w:rsid w:val="BBFDA78E"/>
    <w:rsid w:val="BFDFCA45"/>
    <w:rsid w:val="BFFF170B"/>
    <w:rsid w:val="C8343204"/>
    <w:rsid w:val="D3F2A31F"/>
    <w:rsid w:val="DF6F06C9"/>
    <w:rsid w:val="DFF99F7B"/>
    <w:rsid w:val="EDFE70F3"/>
    <w:rsid w:val="EDFFC3D8"/>
    <w:rsid w:val="EFBB9F7A"/>
    <w:rsid w:val="EFFF3EFA"/>
    <w:rsid w:val="F55A3F04"/>
    <w:rsid w:val="F5B7D761"/>
    <w:rsid w:val="F6CF4AB8"/>
    <w:rsid w:val="F6DF5E7C"/>
    <w:rsid w:val="F76F2B4D"/>
    <w:rsid w:val="F7DF0472"/>
    <w:rsid w:val="FB3FA1EE"/>
    <w:rsid w:val="FBF5F2D7"/>
    <w:rsid w:val="FBFDB9B5"/>
    <w:rsid w:val="FCDE09C8"/>
    <w:rsid w:val="FD7F689F"/>
    <w:rsid w:val="FDF3CF7A"/>
    <w:rsid w:val="FF72F5B8"/>
    <w:rsid w:val="FF7B3441"/>
    <w:rsid w:val="FF7EA0D6"/>
    <w:rsid w:val="FFAA9AA3"/>
    <w:rsid w:val="FFB749FD"/>
    <w:rsid w:val="FFBF9E16"/>
    <w:rsid w:val="FFD2932F"/>
    <w:rsid w:val="FF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宋体" w:hAnsi="宋体" w:eastAsia="宋体" w:cs="Times New Roman"/>
      <w:b/>
      <w:sz w:val="44"/>
      <w:szCs w:val="44"/>
    </w:rPr>
  </w:style>
  <w:style w:type="paragraph" w:styleId="4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标题 3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正文文本缩进 3 Char"/>
    <w:basedOn w:val="9"/>
    <w:link w:val="7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7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basedOn w:val="9"/>
    <w:link w:val="3"/>
    <w:qFormat/>
    <w:uiPriority w:val="0"/>
    <w:rPr>
      <w:rFonts w:ascii="宋体" w:hAnsi="宋体" w:eastAsia="宋体" w:cs="Times New Roman"/>
      <w:b/>
      <w:sz w:val="44"/>
      <w:szCs w:val="44"/>
    </w:rPr>
  </w:style>
  <w:style w:type="paragraph" w:customStyle="1" w:styleId="21">
    <w:name w:val="Char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1599</Words>
  <Characters>9117</Characters>
  <Lines>75</Lines>
  <Paragraphs>21</Paragraphs>
  <TotalTime>2</TotalTime>
  <ScaleCrop>false</ScaleCrop>
  <LinksUpToDate>false</LinksUpToDate>
  <CharactersWithSpaces>10695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2019-10-17T22:26:00Z</dcterms:created>
  <dc:creator>朱健祥</dc:creator>
  <cp:lastModifiedBy>nyncbuser</cp:lastModifiedBy>
  <cp:lastPrinted>2020-05-08T06:31:00Z</cp:lastPrinted>
  <dcterms:modified xsi:type="dcterms:W3CDTF">2020-05-14T08:19:17Z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