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90" w:rsidRDefault="00E30F90" w:rsidP="00E30F90">
      <w:pPr>
        <w:pStyle w:val="a3"/>
        <w:widowControl/>
        <w:snapToGrid w:val="0"/>
        <w:spacing w:line="580" w:lineRule="atLeast"/>
        <w:jc w:val="both"/>
        <w:rPr>
          <w:rFonts w:ascii="Times New Roman" w:eastAsia="黑体" w:hAnsi="Times New Roman"/>
          <w:color w:val="000000"/>
          <w:kern w:val="2"/>
          <w:sz w:val="32"/>
          <w:szCs w:val="32"/>
        </w:rPr>
      </w:pPr>
      <w:r>
        <w:rPr>
          <w:rFonts w:ascii="Times New Roman" w:eastAsia="黑体" w:hAnsi="Times New Roman"/>
          <w:color w:val="000000"/>
          <w:kern w:val="2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2"/>
          <w:sz w:val="32"/>
          <w:szCs w:val="32"/>
        </w:rPr>
        <w:t>1</w:t>
      </w:r>
    </w:p>
    <w:p w:rsidR="00E30F90" w:rsidRDefault="00E30F90" w:rsidP="00E30F90">
      <w:pPr>
        <w:pStyle w:val="a3"/>
        <w:widowControl/>
        <w:snapToGrid w:val="0"/>
        <w:spacing w:line="580" w:lineRule="atLeast"/>
        <w:ind w:firstLineChars="200" w:firstLine="640"/>
        <w:jc w:val="both"/>
        <w:rPr>
          <w:rFonts w:ascii="Times New Roman" w:eastAsia="黑体" w:hAnsi="Times New Roman"/>
          <w:color w:val="000000"/>
          <w:kern w:val="2"/>
          <w:sz w:val="32"/>
          <w:szCs w:val="32"/>
        </w:rPr>
      </w:pPr>
    </w:p>
    <w:p w:rsidR="00E30F90" w:rsidRDefault="00E30F90" w:rsidP="00E30F90">
      <w:pPr>
        <w:pStyle w:val="a3"/>
        <w:widowControl/>
        <w:snapToGrid w:val="0"/>
        <w:spacing w:line="580" w:lineRule="atLeast"/>
        <w:jc w:val="center"/>
        <w:rPr>
          <w:rFonts w:ascii="Times New Roman" w:eastAsia="华文中宋" w:hAnsi="Times New Roman"/>
          <w:b/>
          <w:bCs/>
          <w:color w:val="000000"/>
          <w:kern w:val="2"/>
          <w:sz w:val="44"/>
          <w:szCs w:val="44"/>
        </w:rPr>
      </w:pPr>
      <w:r>
        <w:rPr>
          <w:rFonts w:ascii="Times New Roman" w:eastAsia="华文中宋" w:hAnsi="Times New Roman"/>
          <w:b/>
          <w:bCs/>
          <w:color w:val="000000"/>
          <w:sz w:val="44"/>
          <w:szCs w:val="44"/>
        </w:rPr>
        <w:t>国家级示范区基本条件</w:t>
      </w:r>
    </w:p>
    <w:p w:rsidR="00E30F90" w:rsidRDefault="00E30F90" w:rsidP="00E30F90">
      <w:pPr>
        <w:pStyle w:val="a3"/>
        <w:widowControl/>
        <w:snapToGrid w:val="0"/>
        <w:spacing w:line="580" w:lineRule="atLeast"/>
        <w:ind w:firstLineChars="200" w:firstLine="881"/>
        <w:jc w:val="both"/>
        <w:rPr>
          <w:rFonts w:ascii="Times New Roman" w:eastAsia="华文中宋" w:hAnsi="Times New Roman"/>
          <w:b/>
          <w:bCs/>
          <w:color w:val="000000"/>
          <w:kern w:val="2"/>
          <w:sz w:val="44"/>
          <w:szCs w:val="44"/>
        </w:rPr>
      </w:pPr>
    </w:p>
    <w:p w:rsidR="00E30F90" w:rsidRDefault="00E30F90" w:rsidP="00E30F90">
      <w:pPr>
        <w:pStyle w:val="a3"/>
        <w:widowControl/>
        <w:snapToGrid w:val="0"/>
        <w:spacing w:line="576" w:lineRule="exact"/>
        <w:jc w:val="both"/>
        <w:rPr>
          <w:rFonts w:ascii="Times New Roman" w:eastAsia="黑体" w:hAnsi="Times New Roman"/>
          <w:color w:val="000000"/>
          <w:kern w:val="2"/>
          <w:sz w:val="32"/>
          <w:szCs w:val="32"/>
        </w:rPr>
      </w:pPr>
      <w:r>
        <w:rPr>
          <w:rFonts w:ascii="Times New Roman" w:eastAsia="黑体" w:hAnsi="Times New Roman"/>
          <w:color w:val="000000"/>
          <w:kern w:val="2"/>
          <w:sz w:val="32"/>
          <w:szCs w:val="32"/>
        </w:rPr>
        <w:t>一、以生产经营单位为主体的国家级示范区基本条件</w:t>
      </w:r>
    </w:p>
    <w:p w:rsidR="00E30F90" w:rsidRDefault="00E30F90" w:rsidP="00E30F90">
      <w:pPr>
        <w:pStyle w:val="a3"/>
        <w:widowControl/>
        <w:snapToGrid w:val="0"/>
        <w:spacing w:line="576" w:lineRule="exact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（一）养殖区域坐落于县级人民政府发布的《养殖水域滩涂规划》划定的养殖区、限养区内。</w:t>
      </w:r>
    </w:p>
    <w:p w:rsidR="00E30F90" w:rsidRDefault="00E30F90" w:rsidP="00E30F90">
      <w:pPr>
        <w:pStyle w:val="a3"/>
        <w:widowControl/>
        <w:snapToGrid w:val="0"/>
        <w:spacing w:line="576" w:lineRule="exact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（二）养殖生产者持有效的《水域滩涂养殖证》（或《不动产权证书》《农村土地承包经营权证》），或者可证明其水域滩涂承包经营权、使用权的其他权证及承包合同。苗种生产单位须持有效的《水产苗种生产许可证》（渔业生产者自育、自用水产苗种的除外）。</w:t>
      </w:r>
    </w:p>
    <w:p w:rsidR="00E30F90" w:rsidRDefault="00E30F90" w:rsidP="00E30F90">
      <w:pPr>
        <w:pStyle w:val="a3"/>
        <w:widowControl/>
        <w:snapToGrid w:val="0"/>
        <w:spacing w:line="576" w:lineRule="exact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（三）生产经营单位须为市</w:t>
      </w:r>
      <w:r>
        <w:rPr>
          <w:rFonts w:ascii="Times New Roman" w:eastAsia="仿宋_GB2312" w:hAnsi="Times New Roman"/>
          <w:color w:val="000000"/>
          <w:sz w:val="32"/>
          <w:szCs w:val="32"/>
        </w:rPr>
        <w:t>场主体登记注册的水产养殖企业、农民专业合作社、个体工商户、家庭农场等及上述单位联合体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等，联合体应为同一养殖类型。</w:t>
      </w:r>
    </w:p>
    <w:p w:rsidR="00E30F90" w:rsidRDefault="00E30F90" w:rsidP="00E30F90">
      <w:pPr>
        <w:pStyle w:val="a3"/>
        <w:widowControl/>
        <w:snapToGrid w:val="0"/>
        <w:spacing w:line="576" w:lineRule="exact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（四）除工厂化养殖类型外，东、中部地区的养殖面积须在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2000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亩（含）以上，西部地区的养殖面积须在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1000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亩（含）以上。为工厂化养殖类型的，占地规模须在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100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亩（含）以上，养殖车间建筑面积须在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万平方米（含）以上。</w:t>
      </w:r>
    </w:p>
    <w:p w:rsidR="00E30F90" w:rsidRDefault="00E30F90" w:rsidP="00E30F90">
      <w:pPr>
        <w:pStyle w:val="a3"/>
        <w:widowControl/>
        <w:snapToGrid w:val="0"/>
        <w:spacing w:line="576" w:lineRule="exact"/>
        <w:jc w:val="distribute"/>
        <w:rPr>
          <w:rFonts w:ascii="Times New Roman" w:eastAsia="仿宋_GB2312" w:hAnsi="Times New Roman"/>
          <w:color w:val="000000"/>
          <w:kern w:val="2"/>
          <w:sz w:val="32"/>
          <w:szCs w:val="32"/>
        </w:rPr>
        <w:sectPr w:rsidR="00E30F90">
          <w:footerReference w:type="default" r:id="rId4"/>
          <w:pgSz w:w="11906" w:h="16838"/>
          <w:pgMar w:top="1440" w:right="1558" w:bottom="1440" w:left="1560" w:header="851" w:footer="992" w:gutter="0"/>
          <w:pgNumType w:start="1"/>
          <w:cols w:space="720"/>
          <w:docGrid w:type="lines" w:linePitch="312"/>
        </w:sectPr>
      </w:pP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（五）近三年（含本年度）内产地水产品兽药残留监测合格率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100%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（未被抽检年份视同合格），不存在使用假劣兽药、禁止使用药物及化合物、停用兽药、人用药、原料药和农药等</w:t>
      </w:r>
    </w:p>
    <w:p w:rsidR="00E30F90" w:rsidRDefault="00E30F90" w:rsidP="00E30F90">
      <w:pPr>
        <w:pStyle w:val="a3"/>
        <w:widowControl/>
        <w:snapToGrid w:val="0"/>
        <w:spacing w:line="576" w:lineRule="exact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lastRenderedPageBreak/>
        <w:t>违法行为，不存在使用禁用的、无产品标签等信息的饲料和饲料添加剂等违法行为。</w:t>
      </w:r>
    </w:p>
    <w:p w:rsidR="00E30F90" w:rsidRDefault="00E30F90" w:rsidP="00E30F90">
      <w:pPr>
        <w:pStyle w:val="a3"/>
        <w:widowControl/>
        <w:snapToGrid w:val="0"/>
        <w:spacing w:line="576" w:lineRule="exact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（六）若为非自然开放水域养殖模式，应当进排水分开且无明显毁损，并具有养殖尾水净化处理设施或设备且能正常使用；若为网箱、网栏、筏式、吊笼等自然开放水域养殖模式，应具备废弃物收集设施或设备且能正常使用。</w:t>
      </w:r>
    </w:p>
    <w:p w:rsidR="00E30F90" w:rsidRDefault="00E30F90" w:rsidP="00E30F90">
      <w:pPr>
        <w:pStyle w:val="a3"/>
        <w:widowControl/>
        <w:snapToGrid w:val="0"/>
        <w:spacing w:line="576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（七）农业农村部和省级渔业主管部门根据工作需要提出的其他基本条件。</w:t>
      </w:r>
    </w:p>
    <w:p w:rsidR="00E30F90" w:rsidRDefault="00E30F90" w:rsidP="00E30F90">
      <w:pPr>
        <w:pStyle w:val="a3"/>
        <w:widowControl/>
        <w:snapToGrid w:val="0"/>
        <w:spacing w:line="576" w:lineRule="exact"/>
        <w:ind w:firstLineChars="200" w:firstLine="640"/>
        <w:jc w:val="both"/>
        <w:rPr>
          <w:rFonts w:ascii="Times New Roman" w:eastAsia="黑体" w:hAnsi="Times New Roman"/>
          <w:color w:val="000000"/>
          <w:kern w:val="2"/>
          <w:sz w:val="32"/>
          <w:szCs w:val="32"/>
        </w:rPr>
      </w:pPr>
      <w:r>
        <w:rPr>
          <w:rFonts w:ascii="Times New Roman" w:eastAsia="黑体" w:hAnsi="Times New Roman"/>
          <w:color w:val="000000"/>
          <w:kern w:val="2"/>
          <w:sz w:val="32"/>
          <w:szCs w:val="32"/>
        </w:rPr>
        <w:t>二、以县级人民政府为主体的国家级示范区基本条件</w:t>
      </w:r>
    </w:p>
    <w:p w:rsidR="00E30F90" w:rsidRDefault="00E30F90" w:rsidP="00E30F90">
      <w:pPr>
        <w:pStyle w:val="a3"/>
        <w:widowControl/>
        <w:snapToGrid w:val="0"/>
        <w:spacing w:line="576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（一）成立创建示范工作领导小组，制定颁布水产养殖产业发展规划。</w:t>
      </w:r>
    </w:p>
    <w:p w:rsidR="00E30F90" w:rsidRDefault="00E30F90" w:rsidP="00E30F90">
      <w:pPr>
        <w:pStyle w:val="a3"/>
        <w:widowControl/>
        <w:snapToGrid w:val="0"/>
        <w:spacing w:line="576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（二）东、中部地区的养殖面积须在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万亩（含）以上、养殖产量须在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万吨（含）以上；西部地区的养殖面积须在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万亩（含）以上、养殖产量须在</w:t>
      </w:r>
      <w:r>
        <w:rPr>
          <w:rFonts w:ascii="Times New Roman" w:eastAsia="仿宋_GB2312" w:hAnsi="Times New Roman"/>
          <w:color w:val="000000"/>
          <w:sz w:val="32"/>
          <w:szCs w:val="32"/>
        </w:rPr>
        <w:t>3000</w:t>
      </w:r>
      <w:r>
        <w:rPr>
          <w:rFonts w:ascii="Times New Roman" w:eastAsia="仿宋_GB2312" w:hAnsi="Times New Roman"/>
          <w:color w:val="000000"/>
          <w:sz w:val="32"/>
          <w:szCs w:val="32"/>
        </w:rPr>
        <w:t>吨（含）以上。</w:t>
      </w:r>
    </w:p>
    <w:p w:rsidR="00E30F90" w:rsidRDefault="00E30F90" w:rsidP="00E30F90">
      <w:pPr>
        <w:pStyle w:val="a3"/>
        <w:widowControl/>
        <w:snapToGrid w:val="0"/>
        <w:spacing w:line="576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（三）县级人民政府颁布《养殖水域滩涂规划》，《水域滩涂养殖证》应发尽发，水域滩涂承包经营权、使用权的确权率达</w:t>
      </w:r>
      <w:r>
        <w:rPr>
          <w:rFonts w:ascii="Times New Roman" w:eastAsia="仿宋_GB2312" w:hAnsi="Times New Roman"/>
          <w:color w:val="000000"/>
          <w:sz w:val="32"/>
          <w:szCs w:val="32"/>
        </w:rPr>
        <w:t>90%</w:t>
      </w:r>
      <w:r>
        <w:rPr>
          <w:rFonts w:ascii="Times New Roman" w:eastAsia="仿宋_GB2312" w:hAnsi="Times New Roman"/>
          <w:color w:val="000000"/>
          <w:sz w:val="32"/>
          <w:szCs w:val="32"/>
        </w:rPr>
        <w:t>（含）以上。</w:t>
      </w:r>
    </w:p>
    <w:p w:rsidR="00E30F90" w:rsidRDefault="00E30F90" w:rsidP="00E30F90">
      <w:pPr>
        <w:pStyle w:val="a3"/>
        <w:widowControl/>
        <w:snapToGrid w:val="0"/>
        <w:spacing w:line="576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（四）技术推广、水生动物防疫、环境监测、产品质量检测等机构健全或具有承担相关职能的机构。</w:t>
      </w:r>
    </w:p>
    <w:p w:rsidR="00E30F90" w:rsidRDefault="00E30F90" w:rsidP="00E30F90">
      <w:pPr>
        <w:pStyle w:val="a3"/>
        <w:widowControl/>
        <w:snapToGrid w:val="0"/>
        <w:spacing w:line="576" w:lineRule="exact"/>
        <w:ind w:firstLineChars="200" w:firstLine="640"/>
        <w:jc w:val="both"/>
        <w:rPr>
          <w:rFonts w:ascii="Times New Roman" w:eastAsia="仿宋_GB2312" w:hAnsi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（五）产地水产品兽药残留监测合格率达</w:t>
      </w:r>
      <w:r>
        <w:rPr>
          <w:rFonts w:ascii="Times New Roman" w:eastAsia="仿宋_GB2312" w:hAnsi="Times New Roman"/>
          <w:color w:val="000000"/>
          <w:sz w:val="32"/>
          <w:szCs w:val="32"/>
        </w:rPr>
        <w:t>98%</w:t>
      </w:r>
      <w:r>
        <w:rPr>
          <w:rFonts w:ascii="Times New Roman" w:eastAsia="仿宋_GB2312" w:hAnsi="Times New Roman"/>
          <w:color w:val="000000"/>
          <w:sz w:val="32"/>
          <w:szCs w:val="32"/>
        </w:rPr>
        <w:t>（含）以上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。</w:t>
      </w:r>
    </w:p>
    <w:p w:rsidR="00E30F90" w:rsidRDefault="00E30F90" w:rsidP="00E30F90">
      <w:pPr>
        <w:pStyle w:val="a3"/>
        <w:widowControl/>
        <w:snapToGrid w:val="0"/>
        <w:spacing w:line="576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（六）建立占示范区养殖面积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10%</w:t>
      </w: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（含）以上的核心示范区，实施标准化生产。</w:t>
      </w:r>
    </w:p>
    <w:p w:rsidR="00C16152" w:rsidRPr="00E30F90" w:rsidRDefault="00E30F90" w:rsidP="00E30F90">
      <w:pPr>
        <w:pStyle w:val="a3"/>
        <w:widowControl/>
        <w:snapToGrid w:val="0"/>
        <w:spacing w:line="576" w:lineRule="exact"/>
        <w:ind w:firstLineChars="200" w:firstLine="640"/>
        <w:jc w:val="both"/>
      </w:pPr>
      <w:r>
        <w:rPr>
          <w:rFonts w:ascii="Times New Roman" w:eastAsia="仿宋_GB2312" w:hAnsi="Times New Roman"/>
          <w:color w:val="000000"/>
          <w:kern w:val="2"/>
          <w:sz w:val="32"/>
          <w:szCs w:val="32"/>
        </w:rPr>
        <w:t>（七）农业农村部和省级渔业主管部门根据工作需要提出的其他基本条件。</w:t>
      </w:r>
    </w:p>
    <w:sectPr w:rsidR="00C16152" w:rsidRPr="00E30F90">
      <w:headerReference w:type="default" r:id="rId5"/>
      <w:footerReference w:type="default" r:id="rId6"/>
      <w:pgSz w:w="11906" w:h="16838"/>
      <w:pgMar w:top="1440" w:right="1558" w:bottom="1440" w:left="1560" w:header="851" w:footer="992" w:gutter="0"/>
      <w:pgNumType w:start="2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562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935620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</w:instrText>
                </w:r>
                <w:r>
                  <w:instrText xml:space="preserve">RMAT </w:instrText>
                </w:r>
                <w:r>
                  <w:fldChar w:fldCharType="separate"/>
                </w:r>
                <w:r w:rsidR="00E30F9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562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6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935620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30F9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56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30F90"/>
    <w:rsid w:val="00935620"/>
    <w:rsid w:val="00C16152"/>
    <w:rsid w:val="00E3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30F90"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E30F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Char">
    <w:name w:val="页眉 Char"/>
    <w:basedOn w:val="a0"/>
    <w:link w:val="a4"/>
    <w:rsid w:val="00E30F90"/>
    <w:rPr>
      <w:rFonts w:ascii="DejaVu Sans" w:eastAsia="宋体" w:hAnsi="DejaVu Sans" w:cs="Times New Roman"/>
      <w:sz w:val="18"/>
      <w:szCs w:val="24"/>
    </w:rPr>
  </w:style>
  <w:style w:type="paragraph" w:styleId="a5">
    <w:name w:val="footer"/>
    <w:basedOn w:val="a"/>
    <w:link w:val="Char0"/>
    <w:uiPriority w:val="99"/>
    <w:unhideWhenUsed/>
    <w:qFormat/>
    <w:rsid w:val="00E30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0F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2021-06-18T01:41:00Z</dcterms:created>
  <dcterms:modified xsi:type="dcterms:W3CDTF">2021-06-18T01:41:00Z</dcterms:modified>
</cp:coreProperties>
</file>